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0">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1">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13"/>
        <w:gridCol w:w="5205"/>
        <w:gridCol w:w="205"/>
        <w:gridCol w:w="130"/>
        <w:gridCol w:w="410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8E0D13C" w:rsidR="00093CA9" w:rsidRDefault="00BB58F0" w:rsidP="00093CA9">
            <w:r w:rsidRPr="00BB58F0">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663B424" w:rsidR="00093CA9" w:rsidRDefault="00C1474B" w:rsidP="00EB6D5B">
            <w:pPr>
              <w:jc w:val="both"/>
            </w:pPr>
            <w:r w:rsidRPr="00C1474B">
              <w:t>Ministry of the Environment and Forestry Regulation No. 7 of 2023</w:t>
            </w:r>
            <w:r w:rsidR="00EB6D5B">
              <w:t xml:space="preserve"> regarding Procedures for Carbon Trading in the Forestry 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098CA4F" w:rsidR="00C313E4" w:rsidRDefault="00C313E4" w:rsidP="00EB6D5B">
            <w:pPr>
              <w:jc w:val="both"/>
            </w:pPr>
            <w:hyperlink r:id="rId16" w:history="1">
              <w:r w:rsidRPr="00BD6A6C">
                <w:rPr>
                  <w:rStyle w:val="Hyperlink"/>
                </w:rPr>
                <w:t>https://web.archive.org/web/20240815105759/https://peraturan.bpk.go.id/Download/310937/PERMEN%20LHK_7_2023.pdf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D77EC2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C157008" w:rsidR="00093CA9" w:rsidRDefault="0093168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A2FC9F8" w:rsidR="00B7097D" w:rsidRDefault="00475CBD" w:rsidP="00475CBD">
            <w:pPr>
              <w:jc w:val="both"/>
            </w:pPr>
            <w:r>
              <w:t xml:space="preserve">The policy tool aims to support the achievement of the nationally determined contribution target or the Nationally Determined Contribution of the forestry sector, through </w:t>
            </w:r>
            <w:r w:rsidR="00B7097D">
              <w:t xml:space="preserve">organize the economic value of carbon in the form of carbon trading in the forestry sector. This policy tool </w:t>
            </w:r>
            <w:r w:rsidR="00B7097D" w:rsidRPr="00B7097D">
              <w:rPr>
                <w:lang w:val="en-US"/>
              </w:rPr>
              <w:t>regulates general provisions, the implementation of GHG emissions trading and offsetting in the forestry sector, non-tax state revenue from carbon trading, reporting, evaluation and guidance, and closing provisions.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82E4B60" w:rsidR="00093CA9" w:rsidRDefault="00093FE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F6F259F" w:rsidR="00093CA9" w:rsidRPr="00173D7C" w:rsidRDefault="00093FE9"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56CA21D" w:rsidR="00093CA9" w:rsidRPr="00173D7C" w:rsidRDefault="00A135BF"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C02F07" w:rsidR="00093CA9" w:rsidRPr="00A135BF" w:rsidRDefault="00A135BF" w:rsidP="00C37AC9">
            <w:pPr>
              <w:jc w:val="both"/>
            </w:pPr>
            <w:r>
              <w:t>Ministry of Environment and Forestry (“</w:t>
            </w:r>
            <w:r w:rsidRPr="00A135BF">
              <w:rPr>
                <w:b/>
                <w:bCs/>
              </w:rPr>
              <w:t>MoEF</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9ADBB73" w:rsidR="00093CA9" w:rsidRPr="006B7B0D" w:rsidRDefault="00A135BF" w:rsidP="00C37AC9">
            <w:pPr>
              <w:jc w:val="both"/>
            </w:pPr>
            <w:r>
              <w:t xml:space="preserve">MoEF, </w:t>
            </w:r>
            <w:r w:rsidRPr="00A135BF">
              <w:t>including Director General of Sustainable Forest Management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8FD2C54" w:rsidR="00093CA9" w:rsidRPr="006B7B0D" w:rsidRDefault="001F781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8C6DBFF" w14:textId="59ADA2C4" w:rsidR="00765C9F" w:rsidRDefault="00765C9F" w:rsidP="00127CA3">
            <w:pPr>
              <w:keepNext/>
              <w:jc w:val="both"/>
              <w:rPr>
                <w:color w:val="000000" w:themeColor="text1"/>
                <w:lang w:val="en-US"/>
              </w:rPr>
            </w:pPr>
            <w:r>
              <w:rPr>
                <w:color w:val="000000" w:themeColor="text1"/>
                <w:lang w:val="en-US"/>
              </w:rPr>
              <w:t>There are several provision related to the monitoring systems in place to oversee the implementation and/or enforcement of this policy tool, namely:</w:t>
            </w:r>
          </w:p>
          <w:p w14:paraId="3505E777" w14:textId="15010C43" w:rsidR="00765C9F" w:rsidRDefault="00765C9F" w:rsidP="00127CA3">
            <w:pPr>
              <w:pStyle w:val="ListParagraph"/>
              <w:keepNext/>
              <w:numPr>
                <w:ilvl w:val="0"/>
                <w:numId w:val="49"/>
              </w:numPr>
              <w:jc w:val="both"/>
              <w:rPr>
                <w:color w:val="000000" w:themeColor="text1"/>
                <w:lang w:val="en-US"/>
              </w:rPr>
            </w:pPr>
            <w:r w:rsidRPr="004046D5">
              <w:rPr>
                <w:b/>
                <w:bCs/>
                <w:color w:val="000000" w:themeColor="text1"/>
                <w:u w:val="single"/>
                <w:lang w:val="en-US"/>
              </w:rPr>
              <w:t>The Implementation of Emission Trading and G</w:t>
            </w:r>
            <w:r w:rsidR="004046D5" w:rsidRPr="004046D5">
              <w:rPr>
                <w:b/>
                <w:bCs/>
                <w:color w:val="000000" w:themeColor="text1"/>
                <w:u w:val="single"/>
                <w:lang w:val="en-US"/>
              </w:rPr>
              <w:t>reenhouse Gas (“GHG”) Emission Offset in the Forestry Sector</w:t>
            </w:r>
            <w:r w:rsidR="004046D5">
              <w:rPr>
                <w:color w:val="000000" w:themeColor="text1"/>
                <w:lang w:val="en-US"/>
              </w:rPr>
              <w:t>:</w:t>
            </w:r>
          </w:p>
          <w:p w14:paraId="3C12067E" w14:textId="77777777" w:rsidR="003D20E1" w:rsidRDefault="003D20E1" w:rsidP="003D20E1">
            <w:pPr>
              <w:pStyle w:val="ListParagraph"/>
              <w:keepNext/>
              <w:jc w:val="both"/>
              <w:rPr>
                <w:color w:val="000000" w:themeColor="text1"/>
                <w:lang w:val="en-US"/>
              </w:rPr>
            </w:pPr>
          </w:p>
          <w:p w14:paraId="53BAD1D2" w14:textId="3C8F8FC6" w:rsidR="004046D5" w:rsidRDefault="004046D5" w:rsidP="00127CA3">
            <w:pPr>
              <w:pStyle w:val="ListParagraph"/>
              <w:keepNext/>
              <w:jc w:val="both"/>
              <w:rPr>
                <w:color w:val="000000" w:themeColor="text1"/>
                <w:lang w:val="en-US"/>
              </w:rPr>
            </w:pPr>
            <w:r>
              <w:rPr>
                <w:color w:val="000000" w:themeColor="text1"/>
                <w:lang w:val="en-US"/>
              </w:rPr>
              <w:t xml:space="preserve">As stipulated in Article 5(b) of </w:t>
            </w:r>
            <w:r w:rsidR="00C433B0">
              <w:rPr>
                <w:color w:val="000000" w:themeColor="text1"/>
                <w:lang w:val="en-US"/>
              </w:rPr>
              <w:t>Policy tool</w:t>
            </w:r>
            <w:r>
              <w:rPr>
                <w:color w:val="000000" w:themeColor="text1"/>
                <w:lang w:val="en-US"/>
              </w:rPr>
              <w:t>, one of the mechanisms in Carbon Trading in the Forestry sector is GHG Emission Offsets. GHG Emission Offset in the Forestry sector shall be carried out through:</w:t>
            </w:r>
          </w:p>
          <w:p w14:paraId="05E31758" w14:textId="77777777" w:rsidR="003D20E1" w:rsidRDefault="003D20E1" w:rsidP="00127CA3">
            <w:pPr>
              <w:pStyle w:val="ListParagraph"/>
              <w:keepNext/>
              <w:jc w:val="both"/>
              <w:rPr>
                <w:color w:val="000000" w:themeColor="text1"/>
                <w:lang w:val="en-US"/>
              </w:rPr>
            </w:pPr>
          </w:p>
          <w:p w14:paraId="1FE99E9C" w14:textId="3D7DA6DD" w:rsidR="004046D5" w:rsidRDefault="004046D5" w:rsidP="00127CA3">
            <w:pPr>
              <w:pStyle w:val="ListParagraph"/>
              <w:keepNext/>
              <w:numPr>
                <w:ilvl w:val="0"/>
                <w:numId w:val="50"/>
              </w:numPr>
              <w:jc w:val="both"/>
              <w:rPr>
                <w:color w:val="000000" w:themeColor="text1"/>
                <w:lang w:val="en-US"/>
              </w:rPr>
            </w:pPr>
            <w:r>
              <w:rPr>
                <w:color w:val="000000" w:themeColor="text1"/>
                <w:lang w:val="en-US"/>
              </w:rPr>
              <w:t xml:space="preserve">formulation and stipulation of a roadmap </w:t>
            </w:r>
            <w:r w:rsidRPr="004046D5">
              <w:rPr>
                <w:color w:val="000000" w:themeColor="text1"/>
                <w:lang w:val="en-US"/>
              </w:rPr>
              <w:t>for Carbon Trading in the Forestry sector;</w:t>
            </w:r>
          </w:p>
          <w:p w14:paraId="6B0647A8" w14:textId="77777777"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determination of the provision of emission reduction buffer;</w:t>
            </w:r>
          </w:p>
          <w:p w14:paraId="09E7B8A4" w14:textId="1F7A24F8"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determination of G</w:t>
            </w:r>
            <w:r w:rsidR="00127CA3">
              <w:rPr>
                <w:color w:val="000000" w:themeColor="text1"/>
                <w:lang w:val="en-US"/>
              </w:rPr>
              <w:t>HG</w:t>
            </w:r>
            <w:r w:rsidRPr="004046D5">
              <w:rPr>
                <w:color w:val="000000" w:themeColor="text1"/>
                <w:lang w:val="en-US"/>
              </w:rPr>
              <w:t xml:space="preserve"> Emissions Baseline in the Forestry sector;</w:t>
            </w:r>
          </w:p>
          <w:p w14:paraId="0A4ED10C" w14:textId="77777777"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determination of emission reduction targets in the Forestry sector;</w:t>
            </w:r>
          </w:p>
          <w:p w14:paraId="5BF06C16" w14:textId="09564E6F" w:rsidR="004046D5" w:rsidRP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 xml:space="preserve">preparation of </w:t>
            </w:r>
            <w:r w:rsidRPr="004046D5">
              <w:rPr>
                <w:color w:val="000000" w:themeColor="text1"/>
              </w:rPr>
              <w:t>Climate Change Mitigation Action Plan Document (</w:t>
            </w:r>
            <w:r w:rsidRPr="004046D5">
              <w:rPr>
                <w:i/>
                <w:iCs/>
                <w:color w:val="000000" w:themeColor="text1"/>
              </w:rPr>
              <w:t>Dokumen Rancangan Aksi Mitigasi Perubahan Iklim</w:t>
            </w:r>
            <w:r>
              <w:rPr>
                <w:color w:val="000000" w:themeColor="text1"/>
              </w:rPr>
              <w:t xml:space="preserve"> or “</w:t>
            </w:r>
            <w:r w:rsidRPr="004046D5">
              <w:rPr>
                <w:b/>
                <w:bCs/>
                <w:color w:val="000000" w:themeColor="text1"/>
                <w:lang w:val="en-US"/>
              </w:rPr>
              <w:t>DRAM</w:t>
            </w:r>
            <w:r>
              <w:rPr>
                <w:color w:val="000000" w:themeColor="text1"/>
                <w:lang w:val="en-US"/>
              </w:rPr>
              <w:t>”)</w:t>
            </w:r>
            <w:r w:rsidRPr="004046D5">
              <w:rPr>
                <w:color w:val="000000" w:themeColor="text1"/>
                <w:lang w:val="en-US"/>
              </w:rPr>
              <w:t>;</w:t>
            </w:r>
          </w:p>
          <w:p w14:paraId="5102874B" w14:textId="77777777"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DRAM Validation;</w:t>
            </w:r>
          </w:p>
          <w:p w14:paraId="24E0AD93" w14:textId="77777777"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DRAM Validation result report;</w:t>
            </w:r>
          </w:p>
          <w:p w14:paraId="4BB1817B" w14:textId="77777777" w:rsidR="004046D5" w:rsidRDefault="004046D5" w:rsidP="00127CA3">
            <w:pPr>
              <w:pStyle w:val="ListParagraph"/>
              <w:keepNext/>
              <w:numPr>
                <w:ilvl w:val="0"/>
                <w:numId w:val="50"/>
              </w:numPr>
              <w:jc w:val="both"/>
              <w:rPr>
                <w:color w:val="000000" w:themeColor="text1"/>
                <w:lang w:val="en-US"/>
              </w:rPr>
            </w:pPr>
            <w:r>
              <w:rPr>
                <w:color w:val="000000" w:themeColor="text1"/>
                <w:lang w:val="en-US"/>
              </w:rPr>
              <w:t>r</w:t>
            </w:r>
            <w:r w:rsidRPr="004046D5">
              <w:rPr>
                <w:color w:val="000000" w:themeColor="text1"/>
                <w:lang w:val="en-US"/>
              </w:rPr>
              <w:t>eport on the implementation of Climate Change Mitigation Action;</w:t>
            </w:r>
          </w:p>
          <w:p w14:paraId="24A343FA" w14:textId="77777777"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Verification of reports on the implementation of Climate Change Mitigation Actions;</w:t>
            </w:r>
          </w:p>
          <w:p w14:paraId="731E606E" w14:textId="77777777"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preparation of Verification result report on the implementation of Climate</w:t>
            </w:r>
            <w:r>
              <w:rPr>
                <w:color w:val="000000" w:themeColor="text1"/>
                <w:lang w:val="en-US"/>
              </w:rPr>
              <w:t xml:space="preserve"> </w:t>
            </w:r>
            <w:r w:rsidRPr="004046D5">
              <w:rPr>
                <w:color w:val="000000" w:themeColor="text1"/>
                <w:lang w:val="en-US"/>
              </w:rPr>
              <w:t>Change Mitigation Action;</w:t>
            </w:r>
          </w:p>
          <w:p w14:paraId="56FAAE16" w14:textId="1E99F844" w:rsid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 xml:space="preserve">establishment and review by the </w:t>
            </w:r>
            <w:r w:rsidR="00127CA3">
              <w:rPr>
                <w:color w:val="000000" w:themeColor="text1"/>
                <w:lang w:val="en-US"/>
              </w:rPr>
              <w:t>Measurement, Reporting, and Verification (“</w:t>
            </w:r>
            <w:r w:rsidRPr="00127CA3">
              <w:rPr>
                <w:b/>
                <w:bCs/>
                <w:color w:val="000000" w:themeColor="text1"/>
                <w:lang w:val="en-US"/>
              </w:rPr>
              <w:t>MRV</w:t>
            </w:r>
            <w:r w:rsidR="00127CA3">
              <w:rPr>
                <w:color w:val="000000" w:themeColor="text1"/>
                <w:lang w:val="en-US"/>
              </w:rPr>
              <w:t>”)</w:t>
            </w:r>
            <w:r w:rsidRPr="004046D5">
              <w:rPr>
                <w:color w:val="000000" w:themeColor="text1"/>
                <w:lang w:val="en-US"/>
              </w:rPr>
              <w:t xml:space="preserve"> team; and</w:t>
            </w:r>
          </w:p>
          <w:p w14:paraId="3A72DDC0" w14:textId="437A3BDB" w:rsidR="004046D5" w:rsidRPr="004046D5" w:rsidRDefault="004046D5" w:rsidP="00127CA3">
            <w:pPr>
              <w:pStyle w:val="ListParagraph"/>
              <w:keepNext/>
              <w:numPr>
                <w:ilvl w:val="0"/>
                <w:numId w:val="50"/>
              </w:numPr>
              <w:jc w:val="both"/>
              <w:rPr>
                <w:color w:val="000000" w:themeColor="text1"/>
                <w:lang w:val="en-US"/>
              </w:rPr>
            </w:pPr>
            <w:r w:rsidRPr="004046D5">
              <w:rPr>
                <w:color w:val="000000" w:themeColor="text1"/>
                <w:lang w:val="en-US"/>
              </w:rPr>
              <w:t xml:space="preserve">issuance of </w:t>
            </w:r>
            <w:r w:rsidRPr="004046D5">
              <w:rPr>
                <w:color w:val="000000" w:themeColor="text1"/>
              </w:rPr>
              <w:t xml:space="preserve">GHG Emissions Reduction Certificate </w:t>
            </w:r>
            <w:r>
              <w:rPr>
                <w:color w:val="000000" w:themeColor="text1"/>
              </w:rPr>
              <w:t>(“</w:t>
            </w:r>
            <w:r w:rsidRPr="004046D5">
              <w:rPr>
                <w:b/>
                <w:bCs/>
                <w:color w:val="000000" w:themeColor="text1"/>
                <w:lang w:val="en-US"/>
              </w:rPr>
              <w:t>SPE-GR</w:t>
            </w:r>
            <w:r>
              <w:rPr>
                <w:color w:val="000000" w:themeColor="text1"/>
                <w:lang w:val="en-US"/>
              </w:rPr>
              <w:t>”)</w:t>
            </w:r>
          </w:p>
          <w:p w14:paraId="3317C0D9" w14:textId="77777777" w:rsidR="003D20E1" w:rsidRDefault="003D20E1" w:rsidP="00127CA3">
            <w:pPr>
              <w:pStyle w:val="ListParagraph"/>
              <w:keepNext/>
              <w:jc w:val="both"/>
              <w:rPr>
                <w:color w:val="000000" w:themeColor="text1"/>
                <w:lang w:val="en-US"/>
              </w:rPr>
            </w:pPr>
          </w:p>
          <w:p w14:paraId="69748C7D" w14:textId="03F84B7E" w:rsidR="00127CA3" w:rsidRDefault="004046D5" w:rsidP="00127CA3">
            <w:pPr>
              <w:pStyle w:val="ListParagraph"/>
              <w:keepNext/>
              <w:jc w:val="both"/>
              <w:rPr>
                <w:color w:val="000000" w:themeColor="text1"/>
              </w:rPr>
            </w:pPr>
            <w:r>
              <w:rPr>
                <w:color w:val="000000" w:themeColor="text1"/>
                <w:lang w:val="en-US"/>
              </w:rPr>
              <w:t xml:space="preserve">Please should be noted that DRAM </w:t>
            </w:r>
            <w:r w:rsidRPr="004046D5">
              <w:rPr>
                <w:color w:val="000000" w:themeColor="text1"/>
              </w:rPr>
              <w:t>is a document drawn up by Business Actors in order t</w:t>
            </w:r>
            <w:r>
              <w:rPr>
                <w:color w:val="000000" w:themeColor="text1"/>
              </w:rPr>
              <w:t xml:space="preserve">o </w:t>
            </w:r>
            <w:r w:rsidRPr="004046D5">
              <w:rPr>
                <w:color w:val="000000" w:themeColor="text1"/>
              </w:rPr>
              <w:t xml:space="preserve">obtain </w:t>
            </w:r>
            <w:r>
              <w:rPr>
                <w:color w:val="000000" w:themeColor="text1"/>
              </w:rPr>
              <w:t xml:space="preserve">SPE-GR. </w:t>
            </w:r>
            <w:r w:rsidR="00127CA3">
              <w:rPr>
                <w:color w:val="000000" w:themeColor="text1"/>
              </w:rPr>
              <w:t xml:space="preserve">Accordance with Article 14 paragraph (1) of </w:t>
            </w:r>
            <w:r w:rsidR="00C433B0">
              <w:rPr>
                <w:color w:val="000000" w:themeColor="text1"/>
              </w:rPr>
              <w:t>Policy tool</w:t>
            </w:r>
            <w:r w:rsidR="00127CA3">
              <w:rPr>
                <w:color w:val="000000" w:themeColor="text1"/>
              </w:rPr>
              <w:t>, the i</w:t>
            </w:r>
            <w:r w:rsidR="00127CA3" w:rsidRPr="00127CA3">
              <w:rPr>
                <w:color w:val="000000" w:themeColor="text1"/>
              </w:rPr>
              <w:t>mplementation of G</w:t>
            </w:r>
            <w:r w:rsidR="00127CA3">
              <w:rPr>
                <w:color w:val="000000" w:themeColor="text1"/>
              </w:rPr>
              <w:t>HG</w:t>
            </w:r>
            <w:r w:rsidR="00127CA3" w:rsidRPr="00127CA3">
              <w:rPr>
                <w:color w:val="000000" w:themeColor="text1"/>
              </w:rPr>
              <w:t xml:space="preserve"> Emission Offsets in Forest Areas, in carrying out</w:t>
            </w:r>
            <w:r w:rsidR="00127CA3">
              <w:rPr>
                <w:color w:val="000000" w:themeColor="text1"/>
              </w:rPr>
              <w:t xml:space="preserve"> </w:t>
            </w:r>
            <w:r w:rsidR="00127CA3" w:rsidRPr="00127CA3">
              <w:rPr>
                <w:color w:val="000000" w:themeColor="text1"/>
              </w:rPr>
              <w:t>their activities, other than</w:t>
            </w:r>
            <w:r w:rsidR="00127CA3">
              <w:rPr>
                <w:color w:val="000000" w:themeColor="text1"/>
              </w:rPr>
              <w:t xml:space="preserve"> </w:t>
            </w:r>
            <w:r w:rsidR="00127CA3" w:rsidRPr="00127CA3">
              <w:rPr>
                <w:color w:val="000000" w:themeColor="text1"/>
              </w:rPr>
              <w:t>Formulating DRAM, must formulate a Climate Change</w:t>
            </w:r>
            <w:r w:rsidR="00127CA3">
              <w:rPr>
                <w:color w:val="000000" w:themeColor="text1"/>
              </w:rPr>
              <w:t xml:space="preserve"> </w:t>
            </w:r>
            <w:r w:rsidR="00127CA3" w:rsidRPr="00127CA3">
              <w:rPr>
                <w:color w:val="000000" w:themeColor="text1"/>
              </w:rPr>
              <w:t>Mitigation Action</w:t>
            </w:r>
            <w:r w:rsidR="00127CA3">
              <w:rPr>
                <w:color w:val="000000" w:themeColor="text1"/>
              </w:rPr>
              <w:t xml:space="preserve"> </w:t>
            </w:r>
            <w:r w:rsidR="00127CA3" w:rsidRPr="00127CA3">
              <w:rPr>
                <w:color w:val="000000" w:themeColor="text1"/>
              </w:rPr>
              <w:t>plan in the forest utilization business planning document.</w:t>
            </w:r>
          </w:p>
          <w:p w14:paraId="7A8D09A5" w14:textId="77777777" w:rsidR="003D20E1" w:rsidRPr="003D20E1" w:rsidRDefault="003D20E1" w:rsidP="003D20E1">
            <w:pPr>
              <w:keepNext/>
              <w:jc w:val="both"/>
              <w:rPr>
                <w:color w:val="000000" w:themeColor="text1"/>
              </w:rPr>
            </w:pPr>
          </w:p>
          <w:p w14:paraId="47ED6AB5" w14:textId="77777777" w:rsidR="00A9469A" w:rsidRDefault="00127CA3" w:rsidP="003D20E1">
            <w:pPr>
              <w:pStyle w:val="ListParagraph"/>
              <w:keepNext/>
              <w:numPr>
                <w:ilvl w:val="0"/>
                <w:numId w:val="49"/>
              </w:numPr>
              <w:jc w:val="both"/>
              <w:rPr>
                <w:color w:val="000000" w:themeColor="text1"/>
                <w:lang w:val="en-US"/>
              </w:rPr>
            </w:pPr>
            <w:r>
              <w:rPr>
                <w:b/>
                <w:bCs/>
                <w:color w:val="000000" w:themeColor="text1"/>
                <w:u w:val="single"/>
                <w:lang w:val="en-US"/>
              </w:rPr>
              <w:t>Reporting, Evaluation, and Guidelines</w:t>
            </w:r>
            <w:r>
              <w:rPr>
                <w:color w:val="000000" w:themeColor="text1"/>
                <w:lang w:val="en-US"/>
              </w:rPr>
              <w:t xml:space="preserve">: </w:t>
            </w:r>
          </w:p>
          <w:p w14:paraId="400F7375" w14:textId="77777777" w:rsidR="00A9469A" w:rsidRDefault="00A9469A" w:rsidP="00A9469A">
            <w:pPr>
              <w:pStyle w:val="ListParagraph"/>
              <w:keepNext/>
              <w:jc w:val="both"/>
              <w:rPr>
                <w:color w:val="000000" w:themeColor="text1"/>
                <w:lang w:val="en-US"/>
              </w:rPr>
            </w:pPr>
          </w:p>
          <w:p w14:paraId="673009A2" w14:textId="3BA703AC" w:rsidR="00343F9D" w:rsidRPr="00343F9D" w:rsidRDefault="00A9469A" w:rsidP="00343F9D">
            <w:pPr>
              <w:pStyle w:val="ListParagraph"/>
              <w:keepNext/>
              <w:jc w:val="both"/>
              <w:rPr>
                <w:color w:val="000000" w:themeColor="text1"/>
                <w:lang w:val="en-US"/>
              </w:rPr>
            </w:pPr>
            <w:r>
              <w:rPr>
                <w:color w:val="000000" w:themeColor="text1"/>
                <w:lang w:val="en-US"/>
              </w:rPr>
              <w:t>According</w:t>
            </w:r>
            <w:r w:rsidR="00127CA3">
              <w:rPr>
                <w:color w:val="000000" w:themeColor="text1"/>
                <w:lang w:val="en-US"/>
              </w:rPr>
              <w:t xml:space="preserve"> with Article 20 of </w:t>
            </w:r>
            <w:r w:rsidR="00C433B0">
              <w:rPr>
                <w:color w:val="000000" w:themeColor="text1"/>
                <w:lang w:val="en-US"/>
              </w:rPr>
              <w:t>Policy tool</w:t>
            </w:r>
            <w:r w:rsidR="00127CA3">
              <w:rPr>
                <w:color w:val="000000" w:themeColor="text1"/>
                <w:lang w:val="en-US"/>
              </w:rPr>
              <w:t>, r</w:t>
            </w:r>
            <w:r w:rsidR="00127CA3" w:rsidRPr="00127CA3">
              <w:rPr>
                <w:color w:val="000000" w:themeColor="text1"/>
                <w:lang w:val="en-US"/>
              </w:rPr>
              <w:t>eports, evaluations and guidance in the Carbon Trading in the Forestry sector</w:t>
            </w:r>
            <w:r w:rsidR="00127CA3">
              <w:rPr>
                <w:color w:val="000000" w:themeColor="text1"/>
                <w:lang w:val="en-US"/>
              </w:rPr>
              <w:t xml:space="preserve"> </w:t>
            </w:r>
            <w:r w:rsidR="00127CA3" w:rsidRPr="00127CA3">
              <w:rPr>
                <w:color w:val="000000" w:themeColor="text1"/>
                <w:lang w:val="en-US"/>
              </w:rPr>
              <w:t>shall be implemented in</w:t>
            </w:r>
            <w:r w:rsidR="00127CA3">
              <w:rPr>
                <w:color w:val="000000" w:themeColor="text1"/>
                <w:lang w:val="en-US"/>
              </w:rPr>
              <w:t xml:space="preserve"> </w:t>
            </w:r>
            <w:r w:rsidR="00127CA3" w:rsidRPr="00127CA3">
              <w:rPr>
                <w:color w:val="000000" w:themeColor="text1"/>
                <w:lang w:val="en-US"/>
              </w:rPr>
              <w:t>accordance with the provisions of the laws and regulations</w:t>
            </w:r>
            <w:r w:rsidR="00127CA3">
              <w:rPr>
                <w:color w:val="000000" w:themeColor="text1"/>
                <w:lang w:val="en-US"/>
              </w:rPr>
              <w:t>.</w:t>
            </w:r>
            <w:r w:rsidR="00343F9D">
              <w:rPr>
                <w:color w:val="000000" w:themeColor="text1"/>
                <w:lang w:val="en-US"/>
              </w:rPr>
              <w:t xml:space="preserve"> </w:t>
            </w:r>
            <w:r w:rsidR="00343F9D" w:rsidRPr="00343F9D">
              <w:rPr>
                <w:color w:val="000000" w:themeColor="text1"/>
                <w:lang w:val="en-US"/>
              </w:rPr>
              <w:t>Furthermore</w:t>
            </w:r>
            <w:r w:rsidR="003D20E1" w:rsidRPr="00343F9D">
              <w:rPr>
                <w:color w:val="000000" w:themeColor="text1"/>
                <w:lang w:val="en-US"/>
              </w:rPr>
              <w:t xml:space="preserve">, Article 21 paragraph (1), (2), and (3) of </w:t>
            </w:r>
            <w:r w:rsidR="00C433B0">
              <w:rPr>
                <w:color w:val="000000" w:themeColor="text1"/>
                <w:lang w:val="en-US"/>
              </w:rPr>
              <w:t>Policy tool</w:t>
            </w:r>
            <w:r w:rsidR="003D20E1" w:rsidRPr="00343F9D">
              <w:rPr>
                <w:color w:val="000000" w:themeColor="text1"/>
                <w:lang w:val="en-US"/>
              </w:rPr>
              <w:t xml:space="preserve"> stipulates that specifically for Carbon Trading Business Actors in protected forests and production forests conducted by </w:t>
            </w:r>
            <w:r w:rsidRPr="00343F9D">
              <w:rPr>
                <w:color w:val="000000" w:themeColor="text1"/>
                <w:lang w:val="en-US"/>
              </w:rPr>
              <w:t>Forest Utilization Licensing (</w:t>
            </w:r>
            <w:r w:rsidRPr="00343F9D">
              <w:rPr>
                <w:i/>
                <w:iCs/>
                <w:color w:val="000000" w:themeColor="text1"/>
                <w:lang w:val="en-US"/>
              </w:rPr>
              <w:t xml:space="preserve">Perizinan Berusaha Pemanfaatan Hutan </w:t>
            </w:r>
            <w:r w:rsidRPr="00343F9D">
              <w:rPr>
                <w:color w:val="000000" w:themeColor="text1"/>
                <w:lang w:val="en-US"/>
              </w:rPr>
              <w:t>or “</w:t>
            </w:r>
            <w:r w:rsidR="003D20E1" w:rsidRPr="00343F9D">
              <w:rPr>
                <w:b/>
                <w:bCs/>
                <w:color w:val="000000" w:themeColor="text1"/>
                <w:lang w:val="en-US"/>
              </w:rPr>
              <w:t>PBPH</w:t>
            </w:r>
            <w:r w:rsidRPr="00343F9D">
              <w:rPr>
                <w:color w:val="000000" w:themeColor="text1"/>
                <w:lang w:val="en-US"/>
              </w:rPr>
              <w:t>”)</w:t>
            </w:r>
            <w:r w:rsidR="003D20E1" w:rsidRPr="00343F9D">
              <w:rPr>
                <w:color w:val="000000" w:themeColor="text1"/>
                <w:lang w:val="en-US"/>
              </w:rPr>
              <w:t xml:space="preserve"> holders, it is required to submit reports on their business activities periodically every month. </w:t>
            </w:r>
          </w:p>
          <w:p w14:paraId="30663EF1" w14:textId="77777777" w:rsidR="00343F9D" w:rsidRDefault="00343F9D" w:rsidP="00A9469A">
            <w:pPr>
              <w:pStyle w:val="ListParagraph"/>
              <w:keepNext/>
              <w:jc w:val="both"/>
              <w:rPr>
                <w:color w:val="000000" w:themeColor="text1"/>
                <w:lang w:val="en-US"/>
              </w:rPr>
            </w:pPr>
          </w:p>
          <w:p w14:paraId="2C2128DB" w14:textId="43A48CE0" w:rsidR="00A9469A" w:rsidRPr="00A9469A" w:rsidRDefault="003D20E1" w:rsidP="00A9469A">
            <w:pPr>
              <w:pStyle w:val="ListParagraph"/>
              <w:keepNext/>
              <w:jc w:val="both"/>
              <w:rPr>
                <w:color w:val="000000" w:themeColor="text1"/>
                <w:lang w:val="en-US"/>
              </w:rPr>
            </w:pPr>
            <w:r w:rsidRPr="003D20E1">
              <w:rPr>
                <w:color w:val="000000" w:themeColor="text1"/>
                <w:lang w:val="en-US"/>
              </w:rPr>
              <w:t>The report</w:t>
            </w:r>
            <w:r>
              <w:rPr>
                <w:color w:val="000000" w:themeColor="text1"/>
                <w:lang w:val="en-US"/>
              </w:rPr>
              <w:t xml:space="preserve"> </w:t>
            </w:r>
            <w:r w:rsidR="00343F9D">
              <w:rPr>
                <w:color w:val="000000" w:themeColor="text1"/>
                <w:lang w:val="en-US"/>
              </w:rPr>
              <w:t xml:space="preserve">above mentioned </w:t>
            </w:r>
            <w:r w:rsidRPr="003D20E1">
              <w:rPr>
                <w:color w:val="000000" w:themeColor="text1"/>
                <w:lang w:val="en-US"/>
              </w:rPr>
              <w:t>shall be submitted to the Director</w:t>
            </w:r>
            <w:r>
              <w:rPr>
                <w:color w:val="000000" w:themeColor="text1"/>
                <w:lang w:val="en-US"/>
              </w:rPr>
              <w:t xml:space="preserve"> </w:t>
            </w:r>
            <w:r w:rsidRPr="003D20E1">
              <w:rPr>
                <w:color w:val="000000" w:themeColor="text1"/>
                <w:lang w:val="en-US"/>
              </w:rPr>
              <w:t xml:space="preserve">General </w:t>
            </w:r>
            <w:r>
              <w:rPr>
                <w:color w:val="000000" w:themeColor="text1"/>
                <w:lang w:val="en-US"/>
              </w:rPr>
              <w:t xml:space="preserve">of </w:t>
            </w:r>
            <w:r w:rsidRPr="003D20E1">
              <w:rPr>
                <w:color w:val="000000" w:themeColor="text1"/>
              </w:rPr>
              <w:t>Sustainable Forest Management</w:t>
            </w:r>
            <w:r>
              <w:rPr>
                <w:color w:val="000000" w:themeColor="text1"/>
                <w:lang w:val="en-US"/>
              </w:rPr>
              <w:t xml:space="preserve"> </w:t>
            </w:r>
            <w:r w:rsidRPr="003D20E1">
              <w:rPr>
                <w:color w:val="000000" w:themeColor="text1"/>
                <w:lang w:val="en-US"/>
              </w:rPr>
              <w:t>and forwarded to the</w:t>
            </w:r>
            <w:r>
              <w:rPr>
                <w:color w:val="000000" w:themeColor="text1"/>
                <w:lang w:val="en-US"/>
              </w:rPr>
              <w:t xml:space="preserve"> </w:t>
            </w:r>
            <w:r w:rsidRPr="003D20E1">
              <w:rPr>
                <w:color w:val="000000" w:themeColor="text1"/>
                <w:lang w:val="en-US"/>
              </w:rPr>
              <w:t xml:space="preserve">head of the provincial forestry agency, the head </w:t>
            </w:r>
            <w:r w:rsidRPr="003D20E1">
              <w:rPr>
                <w:color w:val="000000" w:themeColor="text1"/>
                <w:lang w:val="en-US"/>
              </w:rPr>
              <w:lastRenderedPageBreak/>
              <w:t>of the forest management unit, and the head of the</w:t>
            </w:r>
            <w:r>
              <w:rPr>
                <w:color w:val="000000" w:themeColor="text1"/>
                <w:lang w:val="en-US"/>
              </w:rPr>
              <w:t xml:space="preserve"> </w:t>
            </w:r>
            <w:r w:rsidRPr="003D20E1">
              <w:rPr>
                <w:color w:val="000000" w:themeColor="text1"/>
                <w:lang w:val="en-US"/>
              </w:rPr>
              <w:t>centers.</w:t>
            </w:r>
            <w:r>
              <w:rPr>
                <w:color w:val="000000" w:themeColor="text1"/>
                <w:lang w:val="en-US"/>
              </w:rPr>
              <w:t xml:space="preserve"> </w:t>
            </w:r>
            <w:r w:rsidRPr="003D20E1">
              <w:rPr>
                <w:color w:val="000000" w:themeColor="text1"/>
                <w:lang w:val="en-US"/>
              </w:rPr>
              <w:t xml:space="preserve">The report shall be submitted through the </w:t>
            </w:r>
            <w:r w:rsidR="00A9469A">
              <w:rPr>
                <w:color w:val="000000" w:themeColor="text1"/>
                <w:lang w:val="en-US"/>
              </w:rPr>
              <w:t>National Registry System for Climate Change Control (“</w:t>
            </w:r>
            <w:r w:rsidRPr="00A9469A">
              <w:rPr>
                <w:b/>
                <w:bCs/>
                <w:color w:val="000000" w:themeColor="text1"/>
                <w:lang w:val="en-US"/>
              </w:rPr>
              <w:t>SRN PPI</w:t>
            </w:r>
            <w:r w:rsidR="00A9469A">
              <w:rPr>
                <w:color w:val="000000" w:themeColor="text1"/>
                <w:lang w:val="en-US"/>
              </w:rPr>
              <w:t>”)</w:t>
            </w:r>
            <w:r w:rsidRPr="003D20E1">
              <w:rPr>
                <w:color w:val="000000" w:themeColor="text1"/>
                <w:lang w:val="en-US"/>
              </w:rPr>
              <w:t xml:space="preserve"> and information system</w:t>
            </w:r>
            <w:r>
              <w:rPr>
                <w:color w:val="000000" w:themeColor="text1"/>
                <w:lang w:val="en-US"/>
              </w:rPr>
              <w:t xml:space="preserve"> </w:t>
            </w:r>
            <w:r w:rsidRPr="003D20E1">
              <w:rPr>
                <w:color w:val="000000" w:themeColor="text1"/>
                <w:lang w:val="en-US"/>
              </w:rPr>
              <w:t>managed by the directorate general of sustainable forest management</w:t>
            </w:r>
            <w:r w:rsidR="00A9469A">
              <w:rPr>
                <w:color w:val="000000" w:themeColor="text1"/>
                <w:lang w:val="en-US"/>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B58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B58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B58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692"/>
        <w:gridCol w:w="3936"/>
        <w:gridCol w:w="160"/>
        <w:gridCol w:w="545"/>
        <w:gridCol w:w="512"/>
        <w:gridCol w:w="860"/>
        <w:gridCol w:w="1847"/>
        <w:gridCol w:w="1909"/>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67640DB5"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46ED55D"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AFC06E3" w:rsidR="00D4323A" w:rsidRPr="00CF2E7C" w:rsidRDefault="00410919"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21A0EB7D"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576D6A7"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B15A002" w:rsidR="00D4323A" w:rsidRPr="00CF2E7C" w:rsidRDefault="00410919"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A8304F" w:rsidR="00D4323A" w:rsidRPr="00CF2E7C" w:rsidRDefault="00410919"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A5240C3"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08B2846"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057AA60E"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55AD7798"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AD1F59B" w:rsidR="00D4323A" w:rsidRPr="00CF2E7C" w:rsidRDefault="00410919"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042E763D" w:rsidR="00D4323A" w:rsidRPr="00CF2E7C" w:rsidRDefault="00410919"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6907A1CD" w:rsidR="00092534" w:rsidRPr="00CF2E7C" w:rsidRDefault="000D2BAE"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64D725B7" w:rsidR="00092534" w:rsidRPr="00CF2E7C" w:rsidRDefault="000D2BAE"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CCEBB11" w:rsidR="00092534" w:rsidRPr="00CF2E7C" w:rsidRDefault="000D2BAE"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11EB4FFF" w:rsidR="00092534" w:rsidRPr="00CF2E7C" w:rsidRDefault="000D2BAE"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0B68B4CB" w:rsidR="00092534" w:rsidRPr="00CF2E7C" w:rsidRDefault="000D2BAE"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4AEC8A57" w:rsidR="00092534" w:rsidRPr="00CF2E7C" w:rsidRDefault="000D2BAE"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6F840717" w:rsidR="00092534" w:rsidRPr="00CF2E7C" w:rsidRDefault="000D2BAE"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710F53E" w:rsidR="00092534" w:rsidRPr="00CF2E7C" w:rsidRDefault="000D2BAE"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26020E2" w:rsidR="00092534" w:rsidRPr="00CF2E7C" w:rsidRDefault="000D2BAE"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CDA777C" w:rsidR="00092534" w:rsidRPr="00CF2E7C" w:rsidRDefault="000D2BAE"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1426B3C8" w:rsidR="00092534" w:rsidRPr="00CF2E7C" w:rsidRDefault="000D2BAE"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3F4B008B" w:rsidR="00092534" w:rsidRPr="00CF2E7C" w:rsidRDefault="000D2BAE"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BCBAA24" w:rsidR="00092534" w:rsidRPr="00CF2E7C" w:rsidRDefault="000D2BAE"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B60A9B1" w:rsidR="00092534" w:rsidRPr="00CF2E7C" w:rsidRDefault="000D2BAE"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065AB2F0" w:rsidR="00092534" w:rsidRPr="00CF2E7C" w:rsidRDefault="000D2BAE"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608F472D" w:rsidR="00092534" w:rsidRPr="00CF2E7C" w:rsidRDefault="000D2BAE"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3AA66B5" w:rsidR="00092534" w:rsidRPr="00CF2E7C" w:rsidRDefault="000D2BAE"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B331407" w:rsidR="00092534" w:rsidRPr="00CF2E7C" w:rsidRDefault="000D2BAE"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21944E80" w:rsidR="00092534" w:rsidRPr="00CF2E7C" w:rsidRDefault="000D2BAE"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w:t>
            </w:r>
            <w:r w:rsidRPr="00CF2E7C">
              <w:rPr>
                <w:rFonts w:ascii="Calibri" w:hAnsi="Calibri" w:cs="Calibri"/>
              </w:rPr>
              <w:lastRenderedPageBreak/>
              <w:t>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51944503" w:rsidR="00092534" w:rsidRPr="00CF2E7C" w:rsidRDefault="000D2BAE"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0286CFD" w:rsidR="00092534" w:rsidRPr="00CF2E7C" w:rsidRDefault="000D2BAE"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621CC5C5"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11F4537" w:rsidR="00092534" w:rsidRPr="008D6C8E" w:rsidRDefault="000D2BAE" w:rsidP="000D2BAE">
            <w:pPr>
              <w:jc w:val="both"/>
              <w:rPr>
                <w:rFonts w:ascii="Calibri" w:hAnsi="Calibri" w:cs="Calibri"/>
              </w:rPr>
            </w:pPr>
            <w:r>
              <w:rPr>
                <w:rFonts w:ascii="Calibri" w:hAnsi="Calibri" w:cs="Calibri"/>
              </w:rPr>
              <w:t xml:space="preserve">The policy tool </w:t>
            </w:r>
            <w:r w:rsidRPr="000D2BAE">
              <w:rPr>
                <w:rFonts w:ascii="Calibri" w:hAnsi="Calibri" w:cs="Calibri"/>
              </w:rPr>
              <w:t>shall become the basis for Carbon Trading in the Forestry Sector to control</w:t>
            </w:r>
            <w:r w:rsidRPr="000D2BAE">
              <w:rPr>
                <w:rFonts w:ascii="Calibri" w:hAnsi="Calibri" w:cs="Calibri"/>
              </w:rPr>
              <w:br/>
              <w:t>GRK Emissions from the Forestry sector</w:t>
            </w:r>
            <w:r>
              <w:rPr>
                <w:rFonts w:ascii="Calibri" w:hAnsi="Calibri" w:cs="Calibri"/>
              </w:rPr>
              <w:t xml:space="preserve">. This policy tool aims to regulate the Carbon Trading in the Forestry sector  in order to achieve </w:t>
            </w:r>
            <w:r w:rsidR="008D6C8E">
              <w:rPr>
                <w:rFonts w:ascii="Calibri" w:hAnsi="Calibri" w:cs="Calibri"/>
              </w:rPr>
              <w:t>Nationally Determined Contribution (“</w:t>
            </w:r>
            <w:r w:rsidR="008D6C8E">
              <w:rPr>
                <w:rFonts w:ascii="Calibri" w:hAnsi="Calibri" w:cs="Calibri"/>
                <w:b/>
                <w:bCs/>
              </w:rPr>
              <w:t>NDC</w:t>
            </w:r>
            <w:r w:rsidR="008D6C8E">
              <w:rPr>
                <w:rFonts w:ascii="Calibri" w:hAnsi="Calibri" w:cs="Calibri"/>
              </w:rPr>
              <w: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B58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lastRenderedPageBreak/>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911EF29" w:rsidR="00092534" w:rsidRPr="00CF2E7C" w:rsidRDefault="00151CBA"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85EFB64"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6EDF247C" w:rsidR="00DB1E72" w:rsidRPr="00CF2E7C" w:rsidRDefault="000B4B98"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04737701"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6D26D9B" w14:textId="77777777" w:rsidR="008920D6" w:rsidRDefault="008920D6" w:rsidP="008920D6">
            <w:pPr>
              <w:jc w:val="both"/>
              <w:rPr>
                <w:rFonts w:ascii="Calibri" w:hAnsi="Calibri" w:cs="Calibri"/>
              </w:rPr>
            </w:pPr>
            <w:r>
              <w:rPr>
                <w:rFonts w:ascii="Calibri" w:hAnsi="Calibri" w:cs="Calibri"/>
                <w:b/>
                <w:bCs/>
                <w:u w:val="single"/>
              </w:rPr>
              <w:t>Administrative Sanctions</w:t>
            </w:r>
            <w:r>
              <w:rPr>
                <w:rFonts w:ascii="Calibri" w:hAnsi="Calibri" w:cs="Calibri"/>
              </w:rPr>
              <w:t xml:space="preserve">: </w:t>
            </w:r>
          </w:p>
          <w:p w14:paraId="0253C18C" w14:textId="11EF5736" w:rsidR="008920D6" w:rsidRDefault="008920D6" w:rsidP="008920D6">
            <w:pPr>
              <w:pStyle w:val="ListParagraph"/>
              <w:numPr>
                <w:ilvl w:val="0"/>
                <w:numId w:val="51"/>
              </w:numPr>
              <w:jc w:val="both"/>
              <w:rPr>
                <w:rFonts w:ascii="Calibri" w:hAnsi="Calibri" w:cs="Calibri"/>
              </w:rPr>
            </w:pPr>
            <w:r w:rsidRPr="008920D6">
              <w:rPr>
                <w:rFonts w:ascii="Calibri" w:hAnsi="Calibri" w:cs="Calibri"/>
              </w:rPr>
              <w:t xml:space="preserve">Based on Article 14 paragraph (1) and (3) of </w:t>
            </w:r>
            <w:r w:rsidR="00C433B0">
              <w:rPr>
                <w:rFonts w:ascii="Calibri" w:hAnsi="Calibri" w:cs="Calibri"/>
              </w:rPr>
              <w:t>Policy tool</w:t>
            </w:r>
            <w:r w:rsidRPr="008920D6">
              <w:rPr>
                <w:rFonts w:ascii="Calibri" w:hAnsi="Calibri" w:cs="Calibri"/>
              </w:rPr>
              <w:t>, the implementation of GHG Emission Offsets in Forest Areas, in carrying out their activities, other than Formulating, must formulate a Climate Change Mitigation Action plan in the forest utilization business planning document. The implementation of GHG Emission Offset in Forest Areas that does not implement the provisions shall be subject to administrative sanctions which shall be implemented in accordance with the provisions of laws and regulations.</w:t>
            </w:r>
          </w:p>
          <w:p w14:paraId="7CC5C002" w14:textId="3856BEDC" w:rsidR="008920D6" w:rsidRPr="008920D6" w:rsidRDefault="008920D6" w:rsidP="008920D6">
            <w:pPr>
              <w:pStyle w:val="ListParagraph"/>
              <w:numPr>
                <w:ilvl w:val="0"/>
                <w:numId w:val="51"/>
              </w:numPr>
              <w:jc w:val="both"/>
              <w:rPr>
                <w:rFonts w:ascii="Calibri" w:hAnsi="Calibri" w:cs="Calibri"/>
              </w:rPr>
            </w:pPr>
            <w:r>
              <w:rPr>
                <w:rFonts w:ascii="Calibri" w:hAnsi="Calibri" w:cs="Calibri"/>
              </w:rPr>
              <w:t xml:space="preserve">Under Article 21 paragraph (1) and (5) of </w:t>
            </w:r>
            <w:r w:rsidR="00C433B0">
              <w:rPr>
                <w:rFonts w:ascii="Calibri" w:hAnsi="Calibri" w:cs="Calibri"/>
              </w:rPr>
              <w:t>Policy tool</w:t>
            </w:r>
            <w:r>
              <w:rPr>
                <w:rFonts w:ascii="Calibri" w:hAnsi="Calibri" w:cs="Calibri"/>
              </w:rPr>
              <w:t xml:space="preserve">, </w:t>
            </w:r>
            <w:r w:rsidRPr="008920D6">
              <w:rPr>
                <w:rFonts w:ascii="Calibri" w:hAnsi="Calibri" w:cs="Calibri"/>
              </w:rPr>
              <w:t>Carbon Trading Business Actors in protected forests and production forests conducted by PBPH holders, it is required to submit reports on their business activities periodically every month</w:t>
            </w:r>
            <w:r>
              <w:rPr>
                <w:rFonts w:ascii="Calibri" w:hAnsi="Calibri" w:cs="Calibri"/>
              </w:rPr>
              <w:t>. If the Business Actors fail to submit the reports, then the Business Actors shall be subject to administrative sanctions in accordance with the provisions of the laws and regulations.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169DD1D" w:rsidR="00092534" w:rsidRPr="00CF2E7C" w:rsidRDefault="00DB13EC"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261B78A" w14:textId="77777777" w:rsidR="00CC2F28" w:rsidRDefault="00CC2F28" w:rsidP="00CC2F28">
            <w:pPr>
              <w:jc w:val="both"/>
              <w:rPr>
                <w:rFonts w:ascii="Calibri" w:hAnsi="Calibri" w:cs="Calibri"/>
              </w:rPr>
            </w:pPr>
            <w:r w:rsidRPr="00CC2F28">
              <w:rPr>
                <w:rFonts w:ascii="Calibri" w:hAnsi="Calibri" w:cs="Calibri"/>
              </w:rPr>
              <w:t xml:space="preserve">Minister of Environment and Forestry Decree No. SK.1027/MENLHK/PHL/KUM.1/9/2023 of 2023 regarding the Roadmap for Carbon Trading in the Forestry Sector (“ </w:t>
            </w:r>
            <w:r w:rsidRPr="00CC2F28">
              <w:rPr>
                <w:rFonts w:ascii="Calibri" w:hAnsi="Calibri" w:cs="Calibri"/>
                <w:b/>
                <w:bCs/>
              </w:rPr>
              <w:t>MoEF Decree 1027/1/9/2023</w:t>
            </w:r>
            <w:r w:rsidRPr="00CC2F28">
              <w:rPr>
                <w:rFonts w:ascii="Calibri" w:hAnsi="Calibri" w:cs="Calibri"/>
              </w:rPr>
              <w:t>”):</w:t>
            </w:r>
          </w:p>
          <w:p w14:paraId="62AA0A11" w14:textId="1E475A59" w:rsidR="00CC2F28" w:rsidRPr="00CC2F28" w:rsidRDefault="00CC2F28" w:rsidP="00CC2F28">
            <w:pPr>
              <w:jc w:val="both"/>
              <w:rPr>
                <w:rFonts w:ascii="Calibri" w:hAnsi="Calibri" w:cs="Calibri"/>
              </w:rPr>
            </w:pPr>
            <w:r w:rsidRPr="00CC2F28">
              <w:rPr>
                <w:rFonts w:ascii="Calibri" w:hAnsi="Calibri" w:cs="Calibri"/>
              </w:rPr>
              <w:t xml:space="preserve">The purposes of issuing MoEF Decree 1027/1/9/2023 is </w:t>
            </w:r>
            <w:r w:rsidRPr="00CC2F28">
              <w:rPr>
                <w:rFonts w:ascii="Calibri" w:hAnsi="Calibri" w:cs="Calibri"/>
                <w:lang w:val="en-US"/>
              </w:rPr>
              <w:t>to implement Carbon Trading both domestically and internationally, prioritizing the use of GHG Emissions Reduction Certificates (“SPE-GRK”) generated through the national emissions reduction certification mechanism, and following up on the Guidelines for the Preparation of Mitigation Action Plan Documents.</w:t>
            </w:r>
          </w:p>
          <w:p w14:paraId="57A79A0A" w14:textId="77777777" w:rsidR="00267135" w:rsidRDefault="00CC2F28" w:rsidP="00CC2F28">
            <w:pPr>
              <w:rPr>
                <w:rFonts w:ascii="Calibri" w:hAnsi="Calibri" w:cs="Calibri"/>
              </w:rPr>
            </w:pPr>
            <w:r>
              <w:rPr>
                <w:rFonts w:ascii="Calibri" w:hAnsi="Calibri" w:cs="Calibri"/>
                <w:b/>
                <w:bCs/>
                <w:u w:val="single"/>
              </w:rPr>
              <w:t>Source</w:t>
            </w:r>
            <w:r>
              <w:rPr>
                <w:rFonts w:ascii="Calibri" w:hAnsi="Calibri" w:cs="Calibri"/>
              </w:rPr>
              <w:t xml:space="preserve">: </w:t>
            </w:r>
          </w:p>
          <w:p w14:paraId="4E9BC062" w14:textId="52D55E31" w:rsidR="00092534" w:rsidRPr="00CF2E7C" w:rsidRDefault="00267135" w:rsidP="00CC2F28">
            <w:pPr>
              <w:rPr>
                <w:rFonts w:ascii="Calibri" w:hAnsi="Calibri" w:cs="Calibri"/>
              </w:rPr>
            </w:pPr>
            <w:hyperlink r:id="rId17" w:history="1">
              <w:r w:rsidRPr="007A4817">
                <w:rPr>
                  <w:rStyle w:val="Hyperlink"/>
                  <w:rFonts w:ascii="Calibri" w:hAnsi="Calibri" w:cs="Calibri"/>
                </w:rPr>
                <w:t>https://web.archive.org/web/20250703045216/https://phl.menlhk.go.id/media/publikasi/publikasi_file_1705303320.pdf</w:t>
              </w:r>
            </w:hyperlink>
            <w: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B29648F" w:rsidR="00092534" w:rsidRPr="00CF2E7C" w:rsidRDefault="007C6157"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lastRenderedPageBreak/>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E037C18" w:rsidR="00092534" w:rsidRPr="00CF2E7C" w:rsidRDefault="007C615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EB07B22" w:rsidR="00D46B07" w:rsidRPr="00CF2E7C" w:rsidRDefault="005B1A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7D18318"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52AB3D2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37073B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B1A2B">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3E72BF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01879E5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7F63F5B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90BF85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1D257D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33C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D8069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33C8">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25C85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33C8">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6B1E0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33C8">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37691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F33C8">
              <w:rPr>
                <w:rFonts w:ascii="Calibri" w:eastAsia="Times New Roman" w:hAnsi="Calibri" w:cs="Calibri"/>
                <w:kern w:val="0"/>
                <w:lang w:val="en-US"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C4F16D" w14:textId="4C874FEE" w:rsidR="004F33C8" w:rsidRDefault="004F33C8" w:rsidP="004F33C8">
            <w:pPr>
              <w:jc w:val="both"/>
              <w:textAlignment w:val="baseline"/>
              <w:rPr>
                <w:rFonts w:ascii="Calibri" w:eastAsia="Times New Roman" w:hAnsi="Calibri" w:cs="Calibri"/>
                <w:kern w:val="0"/>
                <w:lang w:val="en-US" w:eastAsia="en-GB"/>
                <w14:ligatures w14:val="none"/>
              </w:rPr>
            </w:pPr>
            <w:r w:rsidRPr="004F33C8">
              <w:rPr>
                <w:rFonts w:ascii="Calibri" w:eastAsia="Times New Roman" w:hAnsi="Calibri" w:cs="Calibri"/>
                <w:kern w:val="0"/>
                <w:lang w:val="en-US" w:eastAsia="en-GB"/>
                <w14:ligatures w14:val="none"/>
              </w:rPr>
              <w:t xml:space="preserve">According to Articles 20 and 21 of </w:t>
            </w:r>
            <w:r w:rsidR="00C433B0">
              <w:rPr>
                <w:rFonts w:ascii="Calibri" w:eastAsia="Times New Roman" w:hAnsi="Calibri" w:cs="Calibri"/>
                <w:kern w:val="0"/>
                <w:lang w:val="en-US" w:eastAsia="en-GB"/>
                <w14:ligatures w14:val="none"/>
              </w:rPr>
              <w:t>Policy tool</w:t>
            </w:r>
            <w:r w:rsidRPr="004F33C8">
              <w:rPr>
                <w:rFonts w:ascii="Calibri" w:eastAsia="Times New Roman" w:hAnsi="Calibri" w:cs="Calibri"/>
                <w:kern w:val="0"/>
                <w:lang w:val="en-US" w:eastAsia="en-GB"/>
                <w14:ligatures w14:val="none"/>
              </w:rPr>
              <w:t xml:space="preserve">, carbon trading in the forestry sector must follow applicable laws and regulations, with specific reporting obligations for business actors operating in protected and production forests under </w:t>
            </w:r>
            <w:r>
              <w:rPr>
                <w:rFonts w:ascii="Calibri" w:eastAsia="Times New Roman" w:hAnsi="Calibri" w:cs="Calibri"/>
                <w:kern w:val="0"/>
                <w:lang w:val="en-US" w:eastAsia="en-GB"/>
                <w14:ligatures w14:val="none"/>
              </w:rPr>
              <w:t>PBPH</w:t>
            </w:r>
            <w:r w:rsidRPr="004F33C8">
              <w:rPr>
                <w:rFonts w:ascii="Calibri" w:eastAsia="Times New Roman" w:hAnsi="Calibri" w:cs="Calibri"/>
                <w:kern w:val="0"/>
                <w:lang w:val="en-US" w:eastAsia="en-GB"/>
                <w14:ligatures w14:val="none"/>
              </w:rPr>
              <w:t>. These actors are required to submit monthly activity reports to the Director General of Sustainable Forest Management, which are then forwarded to relevant regional forestry authorities. Reports must be submitted via the SRN PPI and the designated information system managed by the Directo</w:t>
            </w:r>
            <w:r>
              <w:rPr>
                <w:rFonts w:ascii="Calibri" w:eastAsia="Times New Roman" w:hAnsi="Calibri" w:cs="Calibri"/>
                <w:kern w:val="0"/>
                <w:lang w:val="en-US" w:eastAsia="en-GB"/>
                <w14:ligatures w14:val="none"/>
              </w:rPr>
              <w:t>r</w:t>
            </w:r>
            <w:r w:rsidRPr="004F33C8">
              <w:rPr>
                <w:rFonts w:ascii="Calibri" w:eastAsia="Times New Roman" w:hAnsi="Calibri" w:cs="Calibri"/>
                <w:kern w:val="0"/>
                <w:lang w:val="en-US" w:eastAsia="en-GB"/>
                <w14:ligatures w14:val="none"/>
              </w:rPr>
              <w:t xml:space="preserve"> General</w:t>
            </w:r>
            <w:r>
              <w:rPr>
                <w:rFonts w:ascii="Calibri" w:eastAsia="Times New Roman" w:hAnsi="Calibri" w:cs="Calibri"/>
                <w:kern w:val="0"/>
                <w:lang w:val="en-US" w:eastAsia="en-GB"/>
                <w14:ligatures w14:val="none"/>
              </w:rPr>
              <w:t xml:space="preserve"> </w:t>
            </w:r>
            <w:r w:rsidRPr="004F33C8">
              <w:rPr>
                <w:rFonts w:ascii="Calibri" w:eastAsia="Times New Roman" w:hAnsi="Calibri" w:cs="Calibri"/>
                <w:kern w:val="0"/>
                <w:lang w:val="en-US" w:eastAsia="en-GB"/>
                <w14:ligatures w14:val="none"/>
              </w:rPr>
              <w:t>of Sustainable Forest Management</w:t>
            </w:r>
            <w:r>
              <w:rPr>
                <w:rFonts w:ascii="Calibri" w:eastAsia="Times New Roman" w:hAnsi="Calibri" w:cs="Calibri"/>
                <w:kern w:val="0"/>
                <w:lang w:val="en-US" w:eastAsia="en-GB"/>
                <w14:ligatures w14:val="none"/>
              </w:rPr>
              <w:t xml:space="preserve">. </w:t>
            </w:r>
          </w:p>
          <w:p w14:paraId="037FCE7F" w14:textId="59217ECE" w:rsidR="004F33C8" w:rsidRPr="004F33C8" w:rsidRDefault="004F33C8" w:rsidP="004F33C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Please note that the definition of SRN PPI in this policy tool, is </w:t>
            </w:r>
            <w:r w:rsidRPr="004F33C8">
              <w:rPr>
                <w:rFonts w:ascii="Calibri" w:eastAsia="Times New Roman" w:hAnsi="Calibri" w:cs="Calibri"/>
                <w:kern w:val="0"/>
                <w:lang w:eastAsia="en-GB"/>
                <w14:ligatures w14:val="none"/>
              </w:rPr>
              <w:t>a web-based system for the management,</w:t>
            </w:r>
            <w:r>
              <w:rPr>
                <w:rFonts w:ascii="Calibri" w:eastAsia="Times New Roman" w:hAnsi="Calibri" w:cs="Calibri"/>
                <w:kern w:val="0"/>
                <w:lang w:eastAsia="en-GB"/>
                <w14:ligatures w14:val="none"/>
              </w:rPr>
              <w:t xml:space="preserve"> </w:t>
            </w:r>
            <w:r w:rsidRPr="004F33C8">
              <w:rPr>
                <w:rFonts w:ascii="Calibri" w:eastAsia="Times New Roman" w:hAnsi="Calibri" w:cs="Calibri"/>
                <w:kern w:val="0"/>
                <w:lang w:eastAsia="en-GB"/>
                <w14:ligatures w14:val="none"/>
              </w:rPr>
              <w:t>provision of data and information on actions and resources for climate change</w:t>
            </w:r>
            <w:r>
              <w:rPr>
                <w:rFonts w:ascii="Calibri" w:eastAsia="Times New Roman" w:hAnsi="Calibri" w:cs="Calibri"/>
                <w:kern w:val="0"/>
                <w:lang w:eastAsia="en-GB"/>
                <w14:ligatures w14:val="none"/>
              </w:rPr>
              <w:t xml:space="preserve"> </w:t>
            </w:r>
            <w:r w:rsidRPr="004F33C8">
              <w:rPr>
                <w:rFonts w:ascii="Calibri" w:eastAsia="Times New Roman" w:hAnsi="Calibri" w:cs="Calibri"/>
                <w:kern w:val="0"/>
                <w:lang w:eastAsia="en-GB"/>
                <w14:ligatures w14:val="none"/>
              </w:rPr>
              <w:t>mitigation, climate change</w:t>
            </w:r>
            <w:r>
              <w:rPr>
                <w:rFonts w:ascii="Calibri" w:eastAsia="Times New Roman" w:hAnsi="Calibri" w:cs="Calibri"/>
                <w:kern w:val="0"/>
                <w:lang w:eastAsia="en-GB"/>
                <w14:ligatures w14:val="none"/>
              </w:rPr>
              <w:t xml:space="preserve"> </w:t>
            </w:r>
            <w:r w:rsidRPr="004F33C8">
              <w:rPr>
                <w:rFonts w:ascii="Calibri" w:eastAsia="Times New Roman" w:hAnsi="Calibri" w:cs="Calibri"/>
                <w:kern w:val="0"/>
                <w:lang w:eastAsia="en-GB"/>
                <w14:ligatures w14:val="none"/>
              </w:rPr>
              <w:t>adaptation, and the economic value of carbon in Indonesi</w:t>
            </w:r>
            <w:r>
              <w:rPr>
                <w:rFonts w:ascii="Calibri" w:eastAsia="Times New Roman" w:hAnsi="Calibri" w:cs="Calibri"/>
                <w:kern w:val="0"/>
                <w:lang w:eastAsia="en-GB"/>
                <w14:ligatures w14:val="none"/>
              </w:rPr>
              <w:t>a.</w:t>
            </w:r>
          </w:p>
          <w:p w14:paraId="38C2165D" w14:textId="329A6CEA" w:rsidR="00702413" w:rsidRPr="00CF2E7C" w:rsidRDefault="00702413" w:rsidP="004F33C8">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3EF2C727" w:rsidR="00343937" w:rsidRPr="00CF2E7C" w:rsidRDefault="009B52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2B7EE5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42D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6E3F84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0B240D0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115462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9334C">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w:t>
            </w:r>
            <w:r w:rsidRPr="00CF2E7C">
              <w:rPr>
                <w:rFonts w:ascii="Calibri" w:eastAsia="Times New Roman" w:hAnsi="Calibri" w:cs="Calibri"/>
                <w:kern w:val="0"/>
                <w:lang w:eastAsia="en-GB"/>
                <w14:ligatures w14:val="none"/>
              </w:rPr>
              <w:lastRenderedPageBreak/>
              <w:t xml:space="preserve">(to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946E5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r w:rsidR="000042D5"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FD290D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9334C">
              <w:rPr>
                <w:rFonts w:ascii="Calibri" w:eastAsia="Times New Roman" w:hAnsi="Calibri" w:cs="Calibri"/>
                <w:kern w:val="0"/>
                <w:lang w:eastAsia="en-GB"/>
                <w14:ligatures w14:val="none"/>
              </w:rPr>
              <w:t xml:space="preserve"> </w:t>
            </w:r>
            <w:r w:rsidR="0059334C">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260E3D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523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A1271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523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08B8CC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523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14A5980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52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49164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523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1D2DC7A5" w:rsidR="00343937" w:rsidRPr="00CF2E7C" w:rsidRDefault="009B5230" w:rsidP="009B5230">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are no specific provisions regarding the financial revenues generated by trading carbon credits. However, in this policy tool through Article 8 point c of </w:t>
            </w:r>
            <w:r w:rsidR="00C433B0">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stipulates that the executor of Carbon Trading must also fulfil the following provisions, </w:t>
            </w:r>
            <w:r w:rsidR="00D43A06">
              <w:rPr>
                <w:rFonts w:ascii="Calibri" w:eastAsia="Times New Roman" w:hAnsi="Calibri" w:cs="Calibri"/>
                <w:kern w:val="0"/>
                <w:lang w:eastAsia="en-GB"/>
                <w14:ligatures w14:val="none"/>
              </w:rPr>
              <w:t>one of which is project planning and implementation or accessing carbon markets.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03FC6AE" w:rsidR="000A6F11" w:rsidRPr="00CF2E7C" w:rsidRDefault="004521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7B05467A" w:rsidR="00B87C89" w:rsidRPr="00CF2E7C" w:rsidRDefault="00265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F4FFA4C" w:rsidR="00B87C89" w:rsidRPr="00CF2E7C" w:rsidRDefault="00265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94E071E" w14:textId="77777777" w:rsidR="00F7224C" w:rsidRDefault="00265A61" w:rsidP="00265A61">
            <w:p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In this policy tool, t</w:t>
            </w:r>
            <w:r w:rsidRPr="00265A61">
              <w:rPr>
                <w:rFonts w:ascii="Calibri" w:eastAsia="Times New Roman" w:hAnsi="Calibri" w:cs="Calibri"/>
                <w:kern w:val="0"/>
                <w:lang w:val="en-US" w:eastAsia="en-GB"/>
                <w14:ligatures w14:val="none"/>
              </w:rPr>
              <w:t>he maximum amount that can be traded by foreign carbon traders is determined through mechanisms such as</w:t>
            </w:r>
            <w:r w:rsidR="00F7224C">
              <w:rPr>
                <w:rFonts w:ascii="Calibri" w:eastAsia="Times New Roman" w:hAnsi="Calibri" w:cs="Calibri"/>
                <w:kern w:val="0"/>
                <w:lang w:val="en-US" w:eastAsia="en-GB"/>
                <w14:ligatures w14:val="none"/>
              </w:rPr>
              <w:t>:</w:t>
            </w:r>
          </w:p>
          <w:p w14:paraId="15E073EE" w14:textId="77777777" w:rsidR="00F7224C" w:rsidRPr="00F7224C" w:rsidRDefault="00265A61" w:rsidP="00F7224C">
            <w:pPr>
              <w:pStyle w:val="ListParagraph"/>
              <w:numPr>
                <w:ilvl w:val="0"/>
                <w:numId w:val="53"/>
              </w:numPr>
              <w:jc w:val="both"/>
              <w:textAlignment w:val="baseline"/>
              <w:rPr>
                <w:rFonts w:ascii="Calibri" w:eastAsia="Times New Roman" w:hAnsi="Calibri" w:cs="Calibri"/>
                <w:b/>
                <w:bCs/>
                <w:kern w:val="0"/>
                <w:u w:val="single"/>
                <w:lang w:eastAsia="en-GB"/>
                <w14:ligatures w14:val="none"/>
              </w:rPr>
            </w:pPr>
            <w:r w:rsidRPr="00F7224C">
              <w:rPr>
                <w:rFonts w:ascii="Calibri" w:eastAsia="Times New Roman" w:hAnsi="Calibri" w:cs="Calibri"/>
                <w:b/>
                <w:bCs/>
                <w:kern w:val="0"/>
                <w:u w:val="single"/>
                <w:lang w:val="en-US" w:eastAsia="en-GB"/>
                <w14:ligatures w14:val="none"/>
              </w:rPr>
              <w:t>Emissions Trading</w:t>
            </w:r>
          </w:p>
          <w:p w14:paraId="30235738" w14:textId="36CD8F5E" w:rsidR="00F7224C" w:rsidRDefault="00F7224C" w:rsidP="00F7224C">
            <w:pPr>
              <w:pStyle w:val="ListParagraph"/>
              <w:jc w:val="both"/>
              <w:textAlignment w:val="baseline"/>
              <w:rPr>
                <w:rFonts w:ascii="Calibri" w:eastAsia="Times New Roman" w:hAnsi="Calibri" w:cs="Calibri"/>
                <w:kern w:val="0"/>
                <w:lang w:val="en-US" w:eastAsia="en-GB"/>
                <w14:ligatures w14:val="none"/>
              </w:rPr>
            </w:pPr>
            <w:r w:rsidRPr="00F7224C">
              <w:rPr>
                <w:rFonts w:ascii="Calibri" w:eastAsia="Times New Roman" w:hAnsi="Calibri" w:cs="Calibri"/>
                <w:kern w:val="0"/>
                <w:lang w:val="en-US" w:eastAsia="en-GB"/>
                <w14:ligatures w14:val="none"/>
              </w:rPr>
              <w:t>The maximum amount that can be traded through foreign carbon trading via emissions trading, or what is known as KPE, for business actors whose NDC sub-sector targets have been achieved, is determined using th</w:t>
            </w:r>
            <w:r>
              <w:rPr>
                <w:rFonts w:ascii="Calibri" w:eastAsia="Times New Roman" w:hAnsi="Calibri" w:cs="Calibri"/>
                <w:kern w:val="0"/>
                <w:lang w:val="en-US" w:eastAsia="en-GB"/>
                <w14:ligatures w14:val="none"/>
              </w:rPr>
              <w:t xml:space="preserve">e formula which is stipulated in the </w:t>
            </w:r>
            <w:r w:rsidR="00C433B0">
              <w:rPr>
                <w:rFonts w:ascii="Calibri" w:eastAsia="Times New Roman" w:hAnsi="Calibri" w:cs="Calibri"/>
                <w:kern w:val="0"/>
                <w:lang w:val="en-US" w:eastAsia="en-GB"/>
                <w14:ligatures w14:val="none"/>
              </w:rPr>
              <w:t>Policy tool</w:t>
            </w:r>
            <w:r>
              <w:rPr>
                <w:rFonts w:ascii="Calibri" w:eastAsia="Times New Roman" w:hAnsi="Calibri" w:cs="Calibri"/>
                <w:kern w:val="0"/>
                <w:lang w:val="en-US" w:eastAsia="en-GB"/>
                <w14:ligatures w14:val="none"/>
              </w:rPr>
              <w:t xml:space="preserve"> Appendix.</w:t>
            </w:r>
          </w:p>
          <w:p w14:paraId="43B40E85" w14:textId="77777777" w:rsidR="00F7224C" w:rsidRPr="00F7224C" w:rsidRDefault="00F7224C" w:rsidP="00F7224C">
            <w:pPr>
              <w:pStyle w:val="ListParagraph"/>
              <w:jc w:val="both"/>
              <w:textAlignment w:val="baseline"/>
              <w:rPr>
                <w:rFonts w:ascii="Calibri" w:eastAsia="Times New Roman" w:hAnsi="Calibri" w:cs="Calibri"/>
                <w:kern w:val="0"/>
                <w:lang w:val="en-US" w:eastAsia="en-GB"/>
                <w14:ligatures w14:val="none"/>
              </w:rPr>
            </w:pPr>
          </w:p>
          <w:p w14:paraId="6A32475A" w14:textId="2E2B36CB" w:rsidR="00265A61" w:rsidRPr="00F7224C" w:rsidRDefault="00265A61" w:rsidP="00F7224C">
            <w:pPr>
              <w:pStyle w:val="ListParagraph"/>
              <w:numPr>
                <w:ilvl w:val="0"/>
                <w:numId w:val="53"/>
              </w:numPr>
              <w:jc w:val="both"/>
              <w:textAlignment w:val="baseline"/>
              <w:rPr>
                <w:rFonts w:ascii="Calibri" w:eastAsia="Times New Roman" w:hAnsi="Calibri" w:cs="Calibri"/>
                <w:b/>
                <w:bCs/>
                <w:kern w:val="0"/>
                <w:u w:val="single"/>
                <w:lang w:eastAsia="en-GB"/>
                <w14:ligatures w14:val="none"/>
              </w:rPr>
            </w:pPr>
            <w:r w:rsidRPr="00F7224C">
              <w:rPr>
                <w:rFonts w:ascii="Calibri" w:eastAsia="Times New Roman" w:hAnsi="Calibri" w:cs="Calibri"/>
                <w:b/>
                <w:bCs/>
                <w:kern w:val="0"/>
                <w:u w:val="single"/>
                <w:lang w:val="en-US" w:eastAsia="en-GB"/>
                <w14:ligatures w14:val="none"/>
              </w:rPr>
              <w:t>GHG Emissions Offsets</w:t>
            </w:r>
          </w:p>
          <w:p w14:paraId="60D1A76C" w14:textId="6D1AB33A" w:rsidR="00265A61" w:rsidRDefault="00F7224C" w:rsidP="00F7224C">
            <w:pPr>
              <w:pStyle w:val="ListParagraph"/>
              <w:jc w:val="both"/>
              <w:textAlignment w:val="baseline"/>
              <w:rPr>
                <w:rFonts w:ascii="Calibri" w:eastAsia="Times New Roman" w:hAnsi="Calibri" w:cs="Calibri"/>
                <w:kern w:val="0"/>
                <w:lang w:eastAsia="en-GB"/>
                <w14:ligatures w14:val="none"/>
              </w:rPr>
            </w:pPr>
            <w:r w:rsidRPr="00F7224C">
              <w:rPr>
                <w:rFonts w:ascii="Calibri" w:eastAsia="Times New Roman" w:hAnsi="Calibri" w:cs="Calibri"/>
                <w:kern w:val="0"/>
                <w:lang w:eastAsia="en-GB"/>
                <w14:ligatures w14:val="none"/>
              </w:rPr>
              <w:t xml:space="preserve">The maximum amount that can be traded in foreign carbon through GHG emission offsets for business actors with NDC targets in sub-sectors (unconditional, i.e., cooperation with </w:t>
            </w:r>
            <w:r w:rsidRPr="00F7224C">
              <w:rPr>
                <w:rFonts w:ascii="Calibri" w:eastAsia="Times New Roman" w:hAnsi="Calibri" w:cs="Calibri"/>
                <w:kern w:val="0"/>
                <w:lang w:eastAsia="en-GB"/>
                <w14:ligatures w14:val="none"/>
              </w:rPr>
              <w:lastRenderedPageBreak/>
              <w:t xml:space="preserve">foreign countries) has been determined using the formula specified in Appendix </w:t>
            </w:r>
            <w:r>
              <w:rPr>
                <w:rFonts w:ascii="Calibri" w:eastAsia="Times New Roman" w:hAnsi="Calibri" w:cs="Calibri"/>
                <w:kern w:val="0"/>
                <w:lang w:eastAsia="en-GB"/>
                <w14:ligatures w14:val="none"/>
              </w:rPr>
              <w:t xml:space="preserve">of </w:t>
            </w:r>
            <w:r w:rsidR="00C433B0">
              <w:rPr>
                <w:rFonts w:ascii="Calibri" w:eastAsia="Times New Roman" w:hAnsi="Calibri" w:cs="Calibri"/>
                <w:kern w:val="0"/>
                <w:lang w:eastAsia="en-GB"/>
                <w14:ligatures w14:val="none"/>
              </w:rPr>
              <w:t>Policy tool</w:t>
            </w:r>
            <w:r w:rsidRPr="00F7224C">
              <w:rPr>
                <w:rFonts w:ascii="Calibri" w:eastAsia="Times New Roman" w:hAnsi="Calibri" w:cs="Calibri"/>
                <w:kern w:val="0"/>
                <w:lang w:eastAsia="en-GB"/>
                <w14:ligatures w14:val="none"/>
              </w:rPr>
              <w:t>.</w:t>
            </w:r>
          </w:p>
          <w:p w14:paraId="35F7AE3A" w14:textId="4FF04E82" w:rsidR="00265A61" w:rsidRPr="00CF2E7C" w:rsidRDefault="00265A61"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60E933F1" w:rsidR="002119B6" w:rsidRPr="00CF2E7C" w:rsidRDefault="000D62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DADADC1" w:rsidR="00FE7FA5" w:rsidRPr="00CF2E7C" w:rsidRDefault="00BB78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359B59B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357A730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1D783C0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89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28A392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89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58C94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D1D718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89E">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D99AA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89E">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B25416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89E">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6D457E68"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306142A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716151B2"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1E45CE6A"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770C8DA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DAED7B" w14:textId="77777777" w:rsidR="000A4F26" w:rsidRDefault="000A4F26" w:rsidP="00874E39">
      <w:r>
        <w:separator/>
      </w:r>
    </w:p>
  </w:endnote>
  <w:endnote w:type="continuationSeparator" w:id="0">
    <w:p w14:paraId="40D6B7B7" w14:textId="77777777" w:rsidR="000A4F26" w:rsidRDefault="000A4F26" w:rsidP="00874E39">
      <w:r>
        <w:continuationSeparator/>
      </w:r>
    </w:p>
  </w:endnote>
  <w:endnote w:type="continuationNotice" w:id="1">
    <w:p w14:paraId="690321A4" w14:textId="77777777" w:rsidR="000A4F26" w:rsidRDefault="000A4F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A79526" w14:textId="77777777" w:rsidR="000A4F26" w:rsidRDefault="000A4F26" w:rsidP="00874E39">
      <w:r>
        <w:separator/>
      </w:r>
    </w:p>
  </w:footnote>
  <w:footnote w:type="continuationSeparator" w:id="0">
    <w:p w14:paraId="7D2B2062" w14:textId="77777777" w:rsidR="000A4F26" w:rsidRDefault="000A4F26" w:rsidP="00874E39">
      <w:r>
        <w:continuationSeparator/>
      </w:r>
    </w:p>
  </w:footnote>
  <w:footnote w:type="continuationNotice" w:id="1">
    <w:p w14:paraId="0E87F9F6" w14:textId="77777777" w:rsidR="000A4F26" w:rsidRDefault="000A4F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6909CF"/>
    <w:multiLevelType w:val="hybridMultilevel"/>
    <w:tmpl w:val="7E6A31C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60B509E"/>
    <w:multiLevelType w:val="hybridMultilevel"/>
    <w:tmpl w:val="E2706350"/>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237A9D"/>
    <w:multiLevelType w:val="hybridMultilevel"/>
    <w:tmpl w:val="4EC8B38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B715427"/>
    <w:multiLevelType w:val="hybridMultilevel"/>
    <w:tmpl w:val="7E6A31C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2DD5745"/>
    <w:multiLevelType w:val="hybridMultilevel"/>
    <w:tmpl w:val="6DE2DD0A"/>
    <w:lvl w:ilvl="0" w:tplc="FFFFFFFF">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5"/>
  </w:num>
  <w:num w:numId="7" w16cid:durableId="566767730">
    <w:abstractNumId w:val="23"/>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11"/>
  </w:num>
  <w:num w:numId="13" w16cid:durableId="2023899324">
    <w:abstractNumId w:val="13"/>
  </w:num>
  <w:num w:numId="14" w16cid:durableId="430587014">
    <w:abstractNumId w:val="7"/>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6"/>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6"/>
  </w:num>
  <w:num w:numId="28" w16cid:durableId="537133110">
    <w:abstractNumId w:val="14"/>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4"/>
  </w:num>
  <w:num w:numId="46" w16cid:durableId="947811845">
    <w:abstractNumId w:val="51"/>
  </w:num>
  <w:num w:numId="47" w16cid:durableId="342588554">
    <w:abstractNumId w:val="28"/>
  </w:num>
  <w:num w:numId="48" w16cid:durableId="318391343">
    <w:abstractNumId w:val="39"/>
  </w:num>
  <w:num w:numId="49" w16cid:durableId="1356030924">
    <w:abstractNumId w:val="43"/>
  </w:num>
  <w:num w:numId="50" w16cid:durableId="1482960091">
    <w:abstractNumId w:val="9"/>
  </w:num>
  <w:num w:numId="51" w16cid:durableId="2085489085">
    <w:abstractNumId w:val="8"/>
  </w:num>
  <w:num w:numId="52" w16cid:durableId="1877696909">
    <w:abstractNumId w:val="18"/>
  </w:num>
  <w:num w:numId="53" w16cid:durableId="1025718802">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2D5"/>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3FE9"/>
    <w:rsid w:val="000948C7"/>
    <w:rsid w:val="00096371"/>
    <w:rsid w:val="000966D3"/>
    <w:rsid w:val="000A0D34"/>
    <w:rsid w:val="000A1365"/>
    <w:rsid w:val="000A1490"/>
    <w:rsid w:val="000A1828"/>
    <w:rsid w:val="000A1917"/>
    <w:rsid w:val="000A1C25"/>
    <w:rsid w:val="000A3C19"/>
    <w:rsid w:val="000A4F26"/>
    <w:rsid w:val="000A50AD"/>
    <w:rsid w:val="000A59F1"/>
    <w:rsid w:val="000A684F"/>
    <w:rsid w:val="000A6B31"/>
    <w:rsid w:val="000A6F11"/>
    <w:rsid w:val="000A7C9B"/>
    <w:rsid w:val="000B0734"/>
    <w:rsid w:val="000B15C7"/>
    <w:rsid w:val="000B1BF7"/>
    <w:rsid w:val="000B37B0"/>
    <w:rsid w:val="000B3F66"/>
    <w:rsid w:val="000B3F68"/>
    <w:rsid w:val="000B4374"/>
    <w:rsid w:val="000B4B98"/>
    <w:rsid w:val="000B719B"/>
    <w:rsid w:val="000C1982"/>
    <w:rsid w:val="000C2857"/>
    <w:rsid w:val="000C52F1"/>
    <w:rsid w:val="000D0592"/>
    <w:rsid w:val="000D1226"/>
    <w:rsid w:val="000D213B"/>
    <w:rsid w:val="000D223D"/>
    <w:rsid w:val="000D2BAE"/>
    <w:rsid w:val="000D5049"/>
    <w:rsid w:val="000D629D"/>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CA3"/>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CBA"/>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9F7"/>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D27"/>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1F7811"/>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D4C"/>
    <w:rsid w:val="00236EF9"/>
    <w:rsid w:val="00237F89"/>
    <w:rsid w:val="002406C6"/>
    <w:rsid w:val="00240CE1"/>
    <w:rsid w:val="00241257"/>
    <w:rsid w:val="00242839"/>
    <w:rsid w:val="00244207"/>
    <w:rsid w:val="00246630"/>
    <w:rsid w:val="00247DE7"/>
    <w:rsid w:val="002500FA"/>
    <w:rsid w:val="00250ED8"/>
    <w:rsid w:val="00250F54"/>
    <w:rsid w:val="0025129B"/>
    <w:rsid w:val="00253701"/>
    <w:rsid w:val="0025449C"/>
    <w:rsid w:val="002552C9"/>
    <w:rsid w:val="0025765F"/>
    <w:rsid w:val="00257732"/>
    <w:rsid w:val="00264CBC"/>
    <w:rsid w:val="0026588F"/>
    <w:rsid w:val="00265A61"/>
    <w:rsid w:val="0026642F"/>
    <w:rsid w:val="00267135"/>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004"/>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3F9D"/>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A22"/>
    <w:rsid w:val="003B3C0F"/>
    <w:rsid w:val="003B4DD6"/>
    <w:rsid w:val="003B4F81"/>
    <w:rsid w:val="003B539A"/>
    <w:rsid w:val="003B5B6C"/>
    <w:rsid w:val="003B66F6"/>
    <w:rsid w:val="003B7854"/>
    <w:rsid w:val="003C16DA"/>
    <w:rsid w:val="003C5BA2"/>
    <w:rsid w:val="003D17C7"/>
    <w:rsid w:val="003D1B49"/>
    <w:rsid w:val="003D1CF3"/>
    <w:rsid w:val="003D207B"/>
    <w:rsid w:val="003D20E1"/>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6D5"/>
    <w:rsid w:val="00405D8B"/>
    <w:rsid w:val="00406643"/>
    <w:rsid w:val="00410170"/>
    <w:rsid w:val="00410853"/>
    <w:rsid w:val="00410919"/>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80B"/>
    <w:rsid w:val="004474C7"/>
    <w:rsid w:val="00450AD7"/>
    <w:rsid w:val="00450C15"/>
    <w:rsid w:val="004514AB"/>
    <w:rsid w:val="00452169"/>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CBD"/>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3C8"/>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34C"/>
    <w:rsid w:val="005938A6"/>
    <w:rsid w:val="00593C2C"/>
    <w:rsid w:val="005946B7"/>
    <w:rsid w:val="00595185"/>
    <w:rsid w:val="0059609B"/>
    <w:rsid w:val="00596289"/>
    <w:rsid w:val="00596CC5"/>
    <w:rsid w:val="0059772D"/>
    <w:rsid w:val="005A03B5"/>
    <w:rsid w:val="005A2023"/>
    <w:rsid w:val="005A270C"/>
    <w:rsid w:val="005A2821"/>
    <w:rsid w:val="005A2900"/>
    <w:rsid w:val="005A2E0C"/>
    <w:rsid w:val="005A383B"/>
    <w:rsid w:val="005A4E4C"/>
    <w:rsid w:val="005A54A2"/>
    <w:rsid w:val="005A5613"/>
    <w:rsid w:val="005A76C9"/>
    <w:rsid w:val="005B1A2B"/>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4EE"/>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9FA"/>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411"/>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C9F"/>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57"/>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0D6"/>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C8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C39"/>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596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15E"/>
    <w:rsid w:val="009A2F67"/>
    <w:rsid w:val="009A322B"/>
    <w:rsid w:val="009A4BC9"/>
    <w:rsid w:val="009A50A0"/>
    <w:rsid w:val="009A5C4E"/>
    <w:rsid w:val="009A639D"/>
    <w:rsid w:val="009A66B8"/>
    <w:rsid w:val="009A6D57"/>
    <w:rsid w:val="009B2D9B"/>
    <w:rsid w:val="009B3B48"/>
    <w:rsid w:val="009B5230"/>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5BF"/>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69A"/>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3B37"/>
    <w:rsid w:val="00B65F11"/>
    <w:rsid w:val="00B673AC"/>
    <w:rsid w:val="00B6777F"/>
    <w:rsid w:val="00B7097D"/>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58F0"/>
    <w:rsid w:val="00BB667C"/>
    <w:rsid w:val="00BB789E"/>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74B"/>
    <w:rsid w:val="00C149A3"/>
    <w:rsid w:val="00C16C64"/>
    <w:rsid w:val="00C173CD"/>
    <w:rsid w:val="00C20109"/>
    <w:rsid w:val="00C20FC8"/>
    <w:rsid w:val="00C227D5"/>
    <w:rsid w:val="00C228DF"/>
    <w:rsid w:val="00C2454C"/>
    <w:rsid w:val="00C25F98"/>
    <w:rsid w:val="00C26867"/>
    <w:rsid w:val="00C27879"/>
    <w:rsid w:val="00C30240"/>
    <w:rsid w:val="00C3135C"/>
    <w:rsid w:val="00C313E4"/>
    <w:rsid w:val="00C3244D"/>
    <w:rsid w:val="00C33102"/>
    <w:rsid w:val="00C3337E"/>
    <w:rsid w:val="00C34977"/>
    <w:rsid w:val="00C352FA"/>
    <w:rsid w:val="00C35794"/>
    <w:rsid w:val="00C36019"/>
    <w:rsid w:val="00C37AC9"/>
    <w:rsid w:val="00C37B62"/>
    <w:rsid w:val="00C37D48"/>
    <w:rsid w:val="00C40234"/>
    <w:rsid w:val="00C4058E"/>
    <w:rsid w:val="00C419A1"/>
    <w:rsid w:val="00C425DF"/>
    <w:rsid w:val="00C43124"/>
    <w:rsid w:val="00C433B0"/>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F28"/>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A06"/>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3EC"/>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906"/>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D5B"/>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4C8"/>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24C"/>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4F33C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436194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524333">
      <w:bodyDiv w:val="1"/>
      <w:marLeft w:val="0"/>
      <w:marRight w:val="0"/>
      <w:marTop w:val="0"/>
      <w:marBottom w:val="0"/>
      <w:divBdr>
        <w:top w:val="none" w:sz="0" w:space="0" w:color="auto"/>
        <w:left w:val="none" w:sz="0" w:space="0" w:color="auto"/>
        <w:bottom w:val="none" w:sz="0" w:space="0" w:color="auto"/>
        <w:right w:val="none" w:sz="0" w:space="0" w:color="auto"/>
      </w:divBdr>
      <w:divsChild>
        <w:div w:id="984893273">
          <w:marLeft w:val="0"/>
          <w:marRight w:val="0"/>
          <w:marTop w:val="0"/>
          <w:marBottom w:val="0"/>
          <w:divBdr>
            <w:top w:val="none" w:sz="0" w:space="0" w:color="auto"/>
            <w:left w:val="none" w:sz="0" w:space="0" w:color="auto"/>
            <w:bottom w:val="none" w:sz="0" w:space="0" w:color="auto"/>
            <w:right w:val="none" w:sz="0" w:space="0" w:color="auto"/>
          </w:divBdr>
          <w:divsChild>
            <w:div w:id="297534032">
              <w:marLeft w:val="0"/>
              <w:marRight w:val="0"/>
              <w:marTop w:val="0"/>
              <w:marBottom w:val="0"/>
              <w:divBdr>
                <w:top w:val="none" w:sz="0" w:space="0" w:color="auto"/>
                <w:left w:val="none" w:sz="0" w:space="0" w:color="auto"/>
                <w:bottom w:val="none" w:sz="0" w:space="0" w:color="auto"/>
                <w:right w:val="none" w:sz="0" w:space="0" w:color="auto"/>
              </w:divBdr>
              <w:divsChild>
                <w:div w:id="558707336">
                  <w:marLeft w:val="0"/>
                  <w:marRight w:val="0"/>
                  <w:marTop w:val="0"/>
                  <w:marBottom w:val="0"/>
                  <w:divBdr>
                    <w:top w:val="none" w:sz="0" w:space="0" w:color="auto"/>
                    <w:left w:val="none" w:sz="0" w:space="0" w:color="auto"/>
                    <w:bottom w:val="none" w:sz="0" w:space="0" w:color="auto"/>
                    <w:right w:val="none" w:sz="0" w:space="0" w:color="auto"/>
                  </w:divBdr>
                  <w:divsChild>
                    <w:div w:id="2046829503">
                      <w:marLeft w:val="0"/>
                      <w:marRight w:val="0"/>
                      <w:marTop w:val="0"/>
                      <w:marBottom w:val="0"/>
                      <w:divBdr>
                        <w:top w:val="none" w:sz="0" w:space="0" w:color="auto"/>
                        <w:left w:val="none" w:sz="0" w:space="0" w:color="auto"/>
                        <w:bottom w:val="none" w:sz="0" w:space="0" w:color="auto"/>
                        <w:right w:val="none" w:sz="0" w:space="0" w:color="auto"/>
                      </w:divBdr>
                      <w:divsChild>
                        <w:div w:id="1311445206">
                          <w:marLeft w:val="0"/>
                          <w:marRight w:val="0"/>
                          <w:marTop w:val="0"/>
                          <w:marBottom w:val="0"/>
                          <w:divBdr>
                            <w:top w:val="none" w:sz="0" w:space="0" w:color="auto"/>
                            <w:left w:val="none" w:sz="0" w:space="0" w:color="auto"/>
                            <w:bottom w:val="none" w:sz="0" w:space="0" w:color="auto"/>
                            <w:right w:val="none" w:sz="0" w:space="0" w:color="auto"/>
                          </w:divBdr>
                          <w:divsChild>
                            <w:div w:id="1160268604">
                              <w:marLeft w:val="0"/>
                              <w:marRight w:val="0"/>
                              <w:marTop w:val="0"/>
                              <w:marBottom w:val="0"/>
                              <w:divBdr>
                                <w:top w:val="none" w:sz="0" w:space="0" w:color="auto"/>
                                <w:left w:val="none" w:sz="0" w:space="0" w:color="auto"/>
                                <w:bottom w:val="none" w:sz="0" w:space="0" w:color="auto"/>
                                <w:right w:val="none" w:sz="0" w:space="0" w:color="auto"/>
                              </w:divBdr>
                              <w:divsChild>
                                <w:div w:id="812261577">
                                  <w:marLeft w:val="0"/>
                                  <w:marRight w:val="0"/>
                                  <w:marTop w:val="0"/>
                                  <w:marBottom w:val="0"/>
                                  <w:divBdr>
                                    <w:top w:val="none" w:sz="0" w:space="0" w:color="auto"/>
                                    <w:left w:val="none" w:sz="0" w:space="0" w:color="auto"/>
                                    <w:bottom w:val="none" w:sz="0" w:space="0" w:color="auto"/>
                                    <w:right w:val="none" w:sz="0" w:space="0" w:color="auto"/>
                                  </w:divBdr>
                                  <w:divsChild>
                                    <w:div w:id="40399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36916">
                      <w:marLeft w:val="0"/>
                      <w:marRight w:val="0"/>
                      <w:marTop w:val="0"/>
                      <w:marBottom w:val="0"/>
                      <w:divBdr>
                        <w:top w:val="none" w:sz="0" w:space="0" w:color="auto"/>
                        <w:left w:val="none" w:sz="0" w:space="0" w:color="auto"/>
                        <w:bottom w:val="none" w:sz="0" w:space="0" w:color="auto"/>
                        <w:right w:val="none" w:sz="0" w:space="0" w:color="auto"/>
                      </w:divBdr>
                      <w:divsChild>
                        <w:div w:id="1493645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650512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527806">
      <w:bodyDiv w:val="1"/>
      <w:marLeft w:val="0"/>
      <w:marRight w:val="0"/>
      <w:marTop w:val="0"/>
      <w:marBottom w:val="0"/>
      <w:divBdr>
        <w:top w:val="none" w:sz="0" w:space="0" w:color="auto"/>
        <w:left w:val="none" w:sz="0" w:space="0" w:color="auto"/>
        <w:bottom w:val="none" w:sz="0" w:space="0" w:color="auto"/>
        <w:right w:val="none" w:sz="0" w:space="0" w:color="auto"/>
      </w:divBdr>
    </w:div>
    <w:div w:id="166546986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429374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eb.archive.org/web/20250703045216/https://phl.menlhk.go.id/media/publikasi/publikasi_file_1705303320.pdf" TargetMode="External"/><Relationship Id="rId2" Type="http://schemas.openxmlformats.org/officeDocument/2006/relationships/customXml" Target="../customXml/item2.xml"/><Relationship Id="rId16" Type="http://schemas.openxmlformats.org/officeDocument/2006/relationships/hyperlink" Target="https://web.archive.org/web/20240815105759/https://peraturan.bpk.go.id/Download/310937/PERMEN%20LHK_7_2023.pdf"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yperlink" Target="mailto:netzerohub@bsg.ox.ac.uk" TargetMode="External"/><Relationship Id="rId19" Type="http://schemas.openxmlformats.org/officeDocument/2006/relationships/hyperlink" Target="https://www.fsb.org/uploads/P131022-1.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392</TotalTime>
  <Pages>114</Pages>
  <Words>22886</Words>
  <Characters>130452</Characters>
  <Application>Microsoft Office Word</Application>
  <DocSecurity>0</DocSecurity>
  <Lines>1087</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99</cp:revision>
  <cp:lastPrinted>2025-03-21T00:14:00Z</cp:lastPrinted>
  <dcterms:created xsi:type="dcterms:W3CDTF">2025-06-25T12:20:00Z</dcterms:created>
  <dcterms:modified xsi:type="dcterms:W3CDTF">2025-07-04T10:26:00Z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